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01635" w14:textId="77777777" w:rsidR="00D856D8" w:rsidRPr="007D459E" w:rsidRDefault="007D459E" w:rsidP="007D459E">
      <w:pPr>
        <w:jc w:val="center"/>
        <w:rPr>
          <w:b/>
          <w:sz w:val="28"/>
        </w:rPr>
      </w:pPr>
      <w:r w:rsidRPr="007D459E">
        <w:rPr>
          <w:b/>
          <w:sz w:val="28"/>
        </w:rPr>
        <w:t>VGI Use Case Sub Group</w:t>
      </w:r>
    </w:p>
    <w:p w14:paraId="7F60C0B3" w14:textId="650343D1" w:rsidR="007D459E" w:rsidRDefault="00305500" w:rsidP="007D459E">
      <w:pPr>
        <w:jc w:val="center"/>
        <w:rPr>
          <w:b/>
        </w:rPr>
      </w:pPr>
      <w:r>
        <w:rPr>
          <w:b/>
        </w:rPr>
        <w:t>27</w:t>
      </w:r>
      <w:r w:rsidR="007D459E" w:rsidRPr="007D459E">
        <w:rPr>
          <w:b/>
        </w:rPr>
        <w:t xml:space="preserve"> June 2017 </w:t>
      </w:r>
      <w:r w:rsidR="007D459E">
        <w:rPr>
          <w:b/>
        </w:rPr>
        <w:t>Meeting Minutes</w:t>
      </w:r>
    </w:p>
    <w:p w14:paraId="3DCD7DE0" w14:textId="77777777" w:rsidR="007D459E" w:rsidRPr="007D459E" w:rsidRDefault="007D459E" w:rsidP="007D459E"/>
    <w:p w14:paraId="0F62D51E" w14:textId="77777777" w:rsidR="007D459E" w:rsidRDefault="007D459E">
      <w:r>
        <w:t>Attendees:</w:t>
      </w:r>
    </w:p>
    <w:p w14:paraId="07CB48C8" w14:textId="383208DE" w:rsidR="001D6731" w:rsidRDefault="001D6731" w:rsidP="00C45604">
      <w:pPr>
        <w:spacing w:after="0" w:line="240" w:lineRule="auto"/>
      </w:pPr>
      <w:r>
        <w:t>Abigail Tinker, PG&amp;E</w:t>
      </w:r>
    </w:p>
    <w:p w14:paraId="728AF181" w14:textId="7BD380DD" w:rsidR="00F57827" w:rsidRDefault="00F57827" w:rsidP="00C45604">
      <w:pPr>
        <w:spacing w:after="0" w:line="240" w:lineRule="auto"/>
      </w:pPr>
      <w:r>
        <w:t>Barry Sole, Porsche</w:t>
      </w:r>
    </w:p>
    <w:p w14:paraId="7C03A4B4" w14:textId="5A26DA23" w:rsidR="00D322E8" w:rsidRDefault="00D322E8" w:rsidP="00C45604">
      <w:pPr>
        <w:spacing w:after="0" w:line="240" w:lineRule="auto"/>
      </w:pPr>
      <w:r>
        <w:t>Dave McCreadie, Ford</w:t>
      </w:r>
    </w:p>
    <w:p w14:paraId="48DFF2E0" w14:textId="7495D58F" w:rsidR="00C45604" w:rsidRDefault="001D6731" w:rsidP="00C45604">
      <w:pPr>
        <w:spacing w:after="0" w:line="240" w:lineRule="auto"/>
      </w:pPr>
      <w:r>
        <w:t xml:space="preserve">Elise </w:t>
      </w:r>
      <w:proofErr w:type="spellStart"/>
      <w:r>
        <w:t>Kedd</w:t>
      </w:r>
      <w:r w:rsidR="00C45604">
        <w:t>ing</w:t>
      </w:r>
      <w:proofErr w:type="spellEnd"/>
      <w:r w:rsidR="00C45604">
        <w:t>, CARB</w:t>
      </w:r>
    </w:p>
    <w:p w14:paraId="332EBF58" w14:textId="0625A3D5" w:rsidR="00305500" w:rsidRDefault="00305500" w:rsidP="00C45604">
      <w:pPr>
        <w:spacing w:after="0" w:line="240" w:lineRule="auto"/>
      </w:pPr>
      <w:r>
        <w:t>Fahad Saadat, Daimler</w:t>
      </w:r>
    </w:p>
    <w:p w14:paraId="52755357" w14:textId="77777777" w:rsidR="007D459E" w:rsidRDefault="00447985" w:rsidP="007D459E">
      <w:pPr>
        <w:spacing w:after="0" w:line="240" w:lineRule="auto"/>
      </w:pPr>
      <w:proofErr w:type="spellStart"/>
      <w:r>
        <w:t>Ga</w:t>
      </w:r>
      <w:r w:rsidR="00DE1394">
        <w:t>di</w:t>
      </w:r>
      <w:proofErr w:type="spellEnd"/>
      <w:r w:rsidR="00DE1394">
        <w:t xml:space="preserve"> Lenz</w:t>
      </w:r>
      <w:r>
        <w:t>, IoTecha</w:t>
      </w:r>
    </w:p>
    <w:p w14:paraId="7A0B13E2" w14:textId="3007220A" w:rsidR="00C45604" w:rsidRDefault="00C45604" w:rsidP="00C45604">
      <w:pPr>
        <w:spacing w:after="0" w:line="240" w:lineRule="auto"/>
      </w:pPr>
      <w:r>
        <w:t>George Bellino, EPRI</w:t>
      </w:r>
    </w:p>
    <w:p w14:paraId="1CB1A384" w14:textId="1F8B5D23" w:rsidR="001D6731" w:rsidRDefault="001D6731" w:rsidP="00C45604">
      <w:pPr>
        <w:spacing w:after="0" w:line="240" w:lineRule="auto"/>
      </w:pPr>
      <w:r>
        <w:t>Hank McGlynn, AEYCH</w:t>
      </w:r>
    </w:p>
    <w:p w14:paraId="4080DB2F" w14:textId="402B6579" w:rsidR="00D322E8" w:rsidRDefault="00D322E8" w:rsidP="00C45604">
      <w:pPr>
        <w:spacing w:after="0" w:line="240" w:lineRule="auto"/>
      </w:pPr>
      <w:r>
        <w:t>James Tarchinski, GM</w:t>
      </w:r>
    </w:p>
    <w:p w14:paraId="03808C69" w14:textId="6C155FC7" w:rsidR="001D6731" w:rsidRDefault="001D6731" w:rsidP="00C45604">
      <w:pPr>
        <w:spacing w:after="0" w:line="240" w:lineRule="auto"/>
      </w:pPr>
      <w:r>
        <w:t>Jeremy Whaling, Honda</w:t>
      </w:r>
    </w:p>
    <w:p w14:paraId="0B0848E9" w14:textId="7A80218D" w:rsidR="00305500" w:rsidRDefault="00305500" w:rsidP="00C45604">
      <w:pPr>
        <w:spacing w:after="0" w:line="240" w:lineRule="auto"/>
      </w:pPr>
      <w:r>
        <w:t xml:space="preserve">John </w:t>
      </w:r>
      <w:proofErr w:type="spellStart"/>
      <w:r>
        <w:t>Mengwasser</w:t>
      </w:r>
      <w:proofErr w:type="spellEnd"/>
      <w:r>
        <w:t>, Shell</w:t>
      </w:r>
    </w:p>
    <w:p w14:paraId="209428FE" w14:textId="2299468D" w:rsidR="00F57827" w:rsidRDefault="00F57827" w:rsidP="00C45604">
      <w:pPr>
        <w:spacing w:after="0" w:line="240" w:lineRule="auto"/>
      </w:pPr>
      <w:r>
        <w:t>Jordan Smith, SCE</w:t>
      </w:r>
    </w:p>
    <w:p w14:paraId="1606B8CB" w14:textId="77777777" w:rsidR="00C45604" w:rsidRDefault="00C45604" w:rsidP="00C45604">
      <w:pPr>
        <w:spacing w:after="0" w:line="240" w:lineRule="auto"/>
      </w:pPr>
      <w:r>
        <w:t xml:space="preserve">Justin </w:t>
      </w:r>
      <w:proofErr w:type="spellStart"/>
      <w:r>
        <w:t>Regnier</w:t>
      </w:r>
      <w:proofErr w:type="spellEnd"/>
      <w:r>
        <w:t>, CEC</w:t>
      </w:r>
      <w:r w:rsidRPr="00C45604">
        <w:t xml:space="preserve"> </w:t>
      </w:r>
    </w:p>
    <w:p w14:paraId="6C12F95F" w14:textId="77777777" w:rsidR="00C45604" w:rsidRDefault="00C45604" w:rsidP="00C45604">
      <w:pPr>
        <w:spacing w:after="0" w:line="240" w:lineRule="auto"/>
      </w:pPr>
      <w:r>
        <w:t>Lance Atkins, Nissan</w:t>
      </w:r>
    </w:p>
    <w:p w14:paraId="231146D5" w14:textId="30C77994" w:rsidR="00447985" w:rsidRDefault="00447985" w:rsidP="007D459E">
      <w:pPr>
        <w:spacing w:after="0" w:line="240" w:lineRule="auto"/>
      </w:pPr>
      <w:r>
        <w:t>Mike Bourton, Kitu Systems</w:t>
      </w:r>
    </w:p>
    <w:p w14:paraId="6F8FEA78" w14:textId="45398444" w:rsidR="00305500" w:rsidRDefault="00305500" w:rsidP="007D459E">
      <w:pPr>
        <w:spacing w:after="0" w:line="240" w:lineRule="auto"/>
      </w:pPr>
      <w:r>
        <w:t xml:space="preserve">Mike </w:t>
      </w:r>
      <w:proofErr w:type="spellStart"/>
      <w:r>
        <w:t>Kireev</w:t>
      </w:r>
      <w:proofErr w:type="spellEnd"/>
      <w:r>
        <w:t>, ABB</w:t>
      </w:r>
    </w:p>
    <w:p w14:paraId="4A940A9B" w14:textId="0DEA97F0" w:rsidR="00D322E8" w:rsidRDefault="00D322E8" w:rsidP="007D459E">
      <w:pPr>
        <w:spacing w:after="0" w:line="240" w:lineRule="auto"/>
      </w:pPr>
      <w:r>
        <w:t>Noel Crisostomo, CEC</w:t>
      </w:r>
    </w:p>
    <w:p w14:paraId="3EC67D8E" w14:textId="29EFB592" w:rsidR="00305500" w:rsidRDefault="00305500" w:rsidP="007D459E">
      <w:pPr>
        <w:spacing w:after="0" w:line="240" w:lineRule="auto"/>
      </w:pPr>
      <w:r>
        <w:t>Phillippe Phanivong, UC Berkeley</w:t>
      </w:r>
    </w:p>
    <w:p w14:paraId="200EBCF6" w14:textId="77777777" w:rsidR="00447985" w:rsidRDefault="00447985" w:rsidP="007D459E">
      <w:pPr>
        <w:spacing w:after="0" w:line="240" w:lineRule="auto"/>
      </w:pPr>
      <w:r>
        <w:t xml:space="preserve">Stephan </w:t>
      </w:r>
      <w:proofErr w:type="spellStart"/>
      <w:r>
        <w:t>Voit</w:t>
      </w:r>
      <w:proofErr w:type="spellEnd"/>
      <w:r>
        <w:t>, Oxygen Initiative</w:t>
      </w:r>
    </w:p>
    <w:p w14:paraId="7073F0D9" w14:textId="77777777" w:rsidR="00C45604" w:rsidRDefault="00C45604" w:rsidP="00C45604">
      <w:pPr>
        <w:spacing w:after="0" w:line="240" w:lineRule="auto"/>
      </w:pPr>
      <w:r>
        <w:t>Stephanie Palmer, CARB</w:t>
      </w:r>
    </w:p>
    <w:p w14:paraId="239BD1D5" w14:textId="77777777" w:rsidR="006E30C1" w:rsidRDefault="006E30C1" w:rsidP="007D459E">
      <w:pPr>
        <w:spacing w:after="0" w:line="240" w:lineRule="auto"/>
      </w:pPr>
    </w:p>
    <w:p w14:paraId="6A57907F" w14:textId="715C0900" w:rsidR="006E30C1" w:rsidRDefault="006E30C1" w:rsidP="007D459E">
      <w:pPr>
        <w:spacing w:after="0" w:line="240" w:lineRule="auto"/>
      </w:pPr>
      <w:r>
        <w:t xml:space="preserve">Mike Bourton chaired the meeting. </w:t>
      </w:r>
      <w:r w:rsidR="00D22A4C">
        <w:t xml:space="preserve">The agenda for use case reviews </w:t>
      </w:r>
      <w:r w:rsidR="00683740">
        <w:t>were</w:t>
      </w:r>
      <w:r w:rsidR="00D22A4C">
        <w:t>:</w:t>
      </w:r>
    </w:p>
    <w:p w14:paraId="72C4EE29" w14:textId="77777777" w:rsidR="00910099" w:rsidRDefault="00910099" w:rsidP="007D459E">
      <w:pPr>
        <w:spacing w:after="0" w:line="240" w:lineRule="auto"/>
      </w:pPr>
    </w:p>
    <w:p w14:paraId="3210750F" w14:textId="352B181E" w:rsidR="00D322E8" w:rsidRDefault="00D322E8" w:rsidP="00D322E8">
      <w:pPr>
        <w:spacing w:after="0" w:line="240" w:lineRule="auto"/>
        <w:ind w:left="720"/>
      </w:pPr>
      <w:r>
        <w:t>VGI Smart Charging Use Case_vo3</w:t>
      </w:r>
      <w:r>
        <w:tab/>
      </w:r>
      <w:r w:rsidR="00910099">
        <w:tab/>
      </w:r>
      <w:r>
        <w:t>Barry Sole</w:t>
      </w:r>
    </w:p>
    <w:p w14:paraId="348D8977" w14:textId="51490C8A" w:rsidR="00910099" w:rsidRDefault="00910099" w:rsidP="00D322E8">
      <w:pPr>
        <w:spacing w:after="0" w:line="240" w:lineRule="auto"/>
        <w:ind w:left="720"/>
      </w:pPr>
      <w:r>
        <w:t>DC EVSE +Telematics Use Case Diagram</w:t>
      </w:r>
      <w:r>
        <w:tab/>
      </w:r>
      <w:r>
        <w:tab/>
        <w:t>Lance Atkins</w:t>
      </w:r>
    </w:p>
    <w:p w14:paraId="23CAC66D" w14:textId="7A72FB92" w:rsidR="00910099" w:rsidRDefault="00910099" w:rsidP="00910099">
      <w:pPr>
        <w:spacing w:after="0" w:line="240" w:lineRule="auto"/>
        <w:ind w:left="720"/>
      </w:pPr>
      <w:r>
        <w:t>Value Matrix for DERs (VGI)</w:t>
      </w:r>
      <w:r>
        <w:tab/>
      </w:r>
      <w:r>
        <w:tab/>
      </w:r>
      <w:r>
        <w:tab/>
      </w:r>
      <w:r>
        <w:t>Abigail Tinker</w:t>
      </w:r>
    </w:p>
    <w:p w14:paraId="5887BA78" w14:textId="6A0972E5" w:rsidR="00910099" w:rsidRDefault="00910099" w:rsidP="00D322E8">
      <w:pPr>
        <w:spacing w:after="0" w:line="240" w:lineRule="auto"/>
        <w:ind w:left="720"/>
      </w:pPr>
    </w:p>
    <w:p w14:paraId="0789AB37" w14:textId="3BA9071C" w:rsidR="00910099" w:rsidRDefault="00910099" w:rsidP="00910099">
      <w:pPr>
        <w:spacing w:after="0" w:line="240" w:lineRule="auto"/>
      </w:pPr>
      <w:r>
        <w:t xml:space="preserve">Note: Lisa McGhee was originally scheduled to present the Fleet Management Use Case, but due to conflict must reschedule this presentation to later review meeting. </w:t>
      </w:r>
    </w:p>
    <w:p w14:paraId="5E828241" w14:textId="4FCBE396" w:rsidR="00910099" w:rsidRDefault="00910099" w:rsidP="00910099">
      <w:pPr>
        <w:spacing w:after="0" w:line="240" w:lineRule="auto"/>
      </w:pPr>
    </w:p>
    <w:p w14:paraId="5BE6C184" w14:textId="7AA75988" w:rsidR="00910099" w:rsidRDefault="008A2C60" w:rsidP="00910099">
      <w:pPr>
        <w:spacing w:after="0" w:line="240" w:lineRule="auto"/>
      </w:pPr>
      <w:r>
        <w:t xml:space="preserve">Barry Sole presented the VGI Smart Charging Use Case. Summary defined the focus of the use case is the integration of the PEV with a facility EMS that includes management of other load devices, and that is within a single facility with a single grid interconnection point. Primary environments are the home and the workplace. </w:t>
      </w:r>
      <w:r w:rsidR="00FD6EF9">
        <w:t xml:space="preserve">Phillippe Phanivong commented the core variable in this use case for energy management at the facility is the PEV. EMS is expected to control the facility loads, including PEV charging, based on the facility panel max capacity to prevent local overloads and incurred demand charges. Identified 7 Use Case scenarios. Use Case Scenario 7 is identified as Open – any PEV plugging in shall be able to connect to the EMS network at the facility. Recommended the title be revised to </w:t>
      </w:r>
      <w:r w:rsidR="00FD6EF9" w:rsidRPr="00FD6EF9">
        <w:rPr>
          <w:u w:val="single"/>
        </w:rPr>
        <w:t>Open and Manageable</w:t>
      </w:r>
      <w:r w:rsidR="00FD6EF9">
        <w:rPr>
          <w:u w:val="single"/>
        </w:rPr>
        <w:t xml:space="preserve">. </w:t>
      </w:r>
    </w:p>
    <w:p w14:paraId="0122B710" w14:textId="2BD58FA5" w:rsidR="00B07937" w:rsidRDefault="00B07937" w:rsidP="00910099">
      <w:pPr>
        <w:spacing w:after="0" w:line="240" w:lineRule="auto"/>
      </w:pPr>
    </w:p>
    <w:p w14:paraId="3AF47493" w14:textId="10A592C1" w:rsidR="00B07937" w:rsidRDefault="00B07937" w:rsidP="00910099">
      <w:pPr>
        <w:spacing w:after="0" w:line="240" w:lineRule="auto"/>
      </w:pPr>
      <w:r>
        <w:lastRenderedPageBreak/>
        <w:t xml:space="preserve">Noel Crisostomo asked about V2G application in Semi Private and Public environments for transactive energy purposes. It was related there would have to be driver compensation and potentially a contract between the driver and the facility – would predominantly apply to MUD and workplace environments. </w:t>
      </w:r>
    </w:p>
    <w:p w14:paraId="3AFB9F2D" w14:textId="62164980" w:rsidR="00B07937" w:rsidRDefault="00B07937" w:rsidP="00910099">
      <w:pPr>
        <w:spacing w:after="0" w:line="240" w:lineRule="auto"/>
      </w:pPr>
    </w:p>
    <w:p w14:paraId="0C0EB0A2" w14:textId="49B75CAD" w:rsidR="00B07937" w:rsidRDefault="00B07937" w:rsidP="00910099">
      <w:pPr>
        <w:spacing w:after="0" w:line="240" w:lineRule="auto"/>
      </w:pPr>
      <w:r>
        <w:t xml:space="preserve">Lance Atkins discussed his single chart (included in the Use Case Drop Box) as an addendum to his DC EVSE and charge/discharge system Use Cases presented during the June 15 review. Purpose was to provide attention to added standards that apply </w:t>
      </w:r>
      <w:r w:rsidR="00BD3E55">
        <w:t xml:space="preserve">for DC EVSE and Telematics Use Cases. It is a draft of the simple architecture to show non-prescribed standards not previously shown.  </w:t>
      </w:r>
    </w:p>
    <w:p w14:paraId="2E0D9514" w14:textId="2531F6AA" w:rsidR="00BD3E55" w:rsidRDefault="00BD3E55" w:rsidP="00910099">
      <w:pPr>
        <w:spacing w:after="0" w:line="240" w:lineRule="auto"/>
      </w:pPr>
    </w:p>
    <w:p w14:paraId="1257D906" w14:textId="6D1CF9C1" w:rsidR="006C495C" w:rsidRDefault="00BD3E55" w:rsidP="00910099">
      <w:pPr>
        <w:spacing w:after="0" w:line="240" w:lineRule="auto"/>
      </w:pPr>
      <w:r>
        <w:t xml:space="preserve">It was noted there are customer interface applicable standards not discussed. Action was assigned for Lance </w:t>
      </w:r>
      <w:r w:rsidR="00D9157F">
        <w:t xml:space="preserve">Atkins </w:t>
      </w:r>
      <w:r>
        <w:t xml:space="preserve">and George Bellino to work together to ensure customer interfaces are addressed in the OVIGP IOU OEM use cases. </w:t>
      </w:r>
    </w:p>
    <w:p w14:paraId="1DB5D7CD" w14:textId="77777777" w:rsidR="006C495C" w:rsidRDefault="006C495C" w:rsidP="00910099">
      <w:pPr>
        <w:spacing w:after="0" w:line="240" w:lineRule="auto"/>
      </w:pPr>
    </w:p>
    <w:p w14:paraId="067213F6" w14:textId="77777777" w:rsidR="006C495C" w:rsidRDefault="00BD3E55" w:rsidP="00910099">
      <w:pPr>
        <w:spacing w:after="0" w:line="240" w:lineRule="auto"/>
      </w:pPr>
      <w:r>
        <w:t xml:space="preserve">Mike </w:t>
      </w:r>
      <w:proofErr w:type="spellStart"/>
      <w:r>
        <w:t>Kireev</w:t>
      </w:r>
      <w:proofErr w:type="spellEnd"/>
      <w:r>
        <w:t xml:space="preserve"> commented about including OCPP application for Service Provider back end to EVSE communications. </w:t>
      </w:r>
      <w:r w:rsidR="006C495C">
        <w:t xml:space="preserve">And further commented on why AC separate from DC on the use case level since the network communications from Service Provider will apply to both. </w:t>
      </w:r>
    </w:p>
    <w:p w14:paraId="4E655146" w14:textId="77777777" w:rsidR="006C495C" w:rsidRDefault="006C495C" w:rsidP="00910099">
      <w:pPr>
        <w:spacing w:after="0" w:line="240" w:lineRule="auto"/>
      </w:pPr>
    </w:p>
    <w:p w14:paraId="08D095BA" w14:textId="570EA22C" w:rsidR="00BD3E55" w:rsidRDefault="006C495C" w:rsidP="00910099">
      <w:pPr>
        <w:spacing w:after="0" w:line="240" w:lineRule="auto"/>
      </w:pPr>
      <w:r>
        <w:t xml:space="preserve">Hank McGlynn for the different charge methods (AC, DC, Wireless) requires special coordination for each between the EVSE and the EV. Noel Crisostomo commented there should be a split out of the EVSE – EV versus the higher level VGI functions. </w:t>
      </w:r>
      <w:r>
        <w:t>Determination was there needs to be a use case to address power flow communications between EVSE and EV versus VGI management.</w:t>
      </w:r>
      <w:r w:rsidR="0022438C">
        <w:t xml:space="preserve"> The real issue is to be able to separate the power flow communications from the VGI specific communications. </w:t>
      </w:r>
    </w:p>
    <w:p w14:paraId="677047ED" w14:textId="5984360C" w:rsidR="0022438C" w:rsidRDefault="0022438C" w:rsidP="00910099">
      <w:pPr>
        <w:spacing w:after="0" w:line="240" w:lineRule="auto"/>
      </w:pPr>
    </w:p>
    <w:p w14:paraId="401A5A3A" w14:textId="31F73B50" w:rsidR="0022438C" w:rsidRDefault="0022438C" w:rsidP="00910099">
      <w:pPr>
        <w:spacing w:after="0" w:line="240" w:lineRule="auto"/>
      </w:pPr>
      <w:r>
        <w:t xml:space="preserve">Abigail Tinker reviewed the Value Matrix for DERS. The spreadsheet presented (reference file in the Use Case Drop Box) were not use cases but more of a list of Grid Services applications categorized as either wholesale energy market, distribution grid, or customer/ site. List is provided as an umbrella for identifying value appropriate grid services, and can be used to determine if any gaps in the use case for these grid services. </w:t>
      </w:r>
    </w:p>
    <w:p w14:paraId="74AB2AED" w14:textId="659AAF25" w:rsidR="00DA30AE" w:rsidRDefault="00DA30AE" w:rsidP="00910099">
      <w:pPr>
        <w:spacing w:after="0" w:line="240" w:lineRule="auto"/>
      </w:pPr>
    </w:p>
    <w:p w14:paraId="16344494" w14:textId="6215B78B" w:rsidR="00DA30AE" w:rsidRDefault="00DA30AE" w:rsidP="00910099">
      <w:pPr>
        <w:spacing w:after="0" w:line="240" w:lineRule="auto"/>
      </w:pPr>
      <w:r>
        <w:t>It was made clear that this spreadsheet does not provide and imply any specific value rating to the grid services. Categorically, these are considered the most valued grid services at a high level.</w:t>
      </w:r>
    </w:p>
    <w:p w14:paraId="66DDCC40" w14:textId="77777777" w:rsidR="00DA30AE" w:rsidRDefault="00DA30AE" w:rsidP="00910099">
      <w:pPr>
        <w:spacing w:after="0" w:line="240" w:lineRule="auto"/>
      </w:pPr>
    </w:p>
    <w:p w14:paraId="7A3E11C1" w14:textId="079ABDED" w:rsidR="00DA30AE" w:rsidRDefault="00DA30AE" w:rsidP="00910099">
      <w:pPr>
        <w:spacing w:after="0" w:line="240" w:lineRule="auto"/>
      </w:pPr>
      <w:r>
        <w:t xml:space="preserve"> Abigail also commented on how will the list play into the requirements assessment. There are statements for each of the listed grid services that may be captured in the requirements as addressed by relevant use cases. </w:t>
      </w:r>
    </w:p>
    <w:p w14:paraId="5674D8EE" w14:textId="5BB30644" w:rsidR="00B81D4B" w:rsidRDefault="00B81D4B" w:rsidP="00910099">
      <w:pPr>
        <w:spacing w:after="0" w:line="240" w:lineRule="auto"/>
      </w:pPr>
    </w:p>
    <w:p w14:paraId="7E043671" w14:textId="62832999" w:rsidR="00B81D4B" w:rsidRDefault="00B81D4B" w:rsidP="00910099">
      <w:pPr>
        <w:spacing w:after="0" w:line="240" w:lineRule="auto"/>
      </w:pPr>
      <w:r>
        <w:t xml:space="preserve">As for value assessment is was related this is a proceeding application and can be built from established baselines such as the ISO Quarterly Report on cost of markets, the distribution values being addressed in the SIWG and Storage groups, and on customer existing rates for demand charges. Justin stated value needs to be discussed by this VGI working group at some point, but not as part of this Use Case Sub Group process. </w:t>
      </w:r>
    </w:p>
    <w:p w14:paraId="5CDFCE4A" w14:textId="10F9C274" w:rsidR="00D9157F" w:rsidRDefault="00D9157F" w:rsidP="00910099">
      <w:pPr>
        <w:spacing w:after="0" w:line="240" w:lineRule="auto"/>
      </w:pPr>
    </w:p>
    <w:p w14:paraId="58A5A040" w14:textId="6D209670" w:rsidR="00D9157F" w:rsidRDefault="00D9157F" w:rsidP="00910099">
      <w:pPr>
        <w:spacing w:after="0" w:line="240" w:lineRule="auto"/>
      </w:pPr>
      <w:r>
        <w:t>Actions:</w:t>
      </w:r>
    </w:p>
    <w:p w14:paraId="16383BE1" w14:textId="41CB5CD4" w:rsidR="00D9157F" w:rsidRDefault="00D9157F" w:rsidP="00D9157F">
      <w:pPr>
        <w:pStyle w:val="ListParagraph"/>
        <w:numPr>
          <w:ilvl w:val="0"/>
          <w:numId w:val="8"/>
        </w:numPr>
        <w:spacing w:after="0" w:line="240" w:lineRule="auto"/>
      </w:pPr>
      <w:r>
        <w:t>Barry Sole update Use Case scenarios as appropriate, title change to Scenario 7</w:t>
      </w:r>
    </w:p>
    <w:p w14:paraId="6204122C" w14:textId="0BA640A6" w:rsidR="00D9157F" w:rsidRDefault="00D9157F" w:rsidP="00D9157F">
      <w:pPr>
        <w:pStyle w:val="ListParagraph"/>
        <w:numPr>
          <w:ilvl w:val="0"/>
          <w:numId w:val="8"/>
        </w:numPr>
        <w:spacing w:after="0" w:line="240" w:lineRule="auto"/>
      </w:pPr>
      <w:r>
        <w:t>Lance Atkins and George Bellino review OVGIP use cases for customer interface functionality</w:t>
      </w:r>
    </w:p>
    <w:p w14:paraId="040AEA90" w14:textId="766A917B" w:rsidR="00D9157F" w:rsidRDefault="00D9157F" w:rsidP="00D9157F">
      <w:pPr>
        <w:pStyle w:val="ListParagraph"/>
        <w:numPr>
          <w:ilvl w:val="0"/>
          <w:numId w:val="8"/>
        </w:numPr>
        <w:spacing w:after="0" w:line="240" w:lineRule="auto"/>
      </w:pPr>
      <w:r>
        <w:t>Hank McGlynn to provide use cases for EVSE EV power flow communications specific to the type of charging (AC, DC, Wireless)</w:t>
      </w:r>
    </w:p>
    <w:p w14:paraId="7FAE0B86" w14:textId="77777777" w:rsidR="00910099" w:rsidRDefault="00910099" w:rsidP="00D322E8">
      <w:pPr>
        <w:spacing w:after="0" w:line="240" w:lineRule="auto"/>
        <w:ind w:left="720"/>
      </w:pPr>
      <w:bookmarkStart w:id="0" w:name="_GoBack"/>
      <w:bookmarkEnd w:id="0"/>
    </w:p>
    <w:p w14:paraId="3D0E9698" w14:textId="1DAAC735" w:rsidR="007B1CAC" w:rsidRPr="001E073E" w:rsidRDefault="001E073E" w:rsidP="001E073E">
      <w:pPr>
        <w:rPr>
          <w:rFonts w:cstheme="minorHAnsi"/>
          <w:sz w:val="2"/>
        </w:rPr>
      </w:pPr>
      <w:r>
        <w:rPr>
          <w:rFonts w:cstheme="minorHAnsi"/>
        </w:rPr>
        <w:t xml:space="preserve"> </w:t>
      </w:r>
    </w:p>
    <w:sectPr w:rsidR="007B1CAC" w:rsidRPr="001E0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CAB"/>
    <w:multiLevelType w:val="hybridMultilevel"/>
    <w:tmpl w:val="3B8E04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D5A07"/>
    <w:multiLevelType w:val="hybridMultilevel"/>
    <w:tmpl w:val="EB829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4862"/>
    <w:multiLevelType w:val="hybridMultilevel"/>
    <w:tmpl w:val="21BA3F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8E7712"/>
    <w:multiLevelType w:val="hybridMultilevel"/>
    <w:tmpl w:val="DC16E0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410A24"/>
    <w:multiLevelType w:val="hybridMultilevel"/>
    <w:tmpl w:val="496C2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4428E9"/>
    <w:multiLevelType w:val="hybridMultilevel"/>
    <w:tmpl w:val="66C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F5BA3"/>
    <w:multiLevelType w:val="hybridMultilevel"/>
    <w:tmpl w:val="8A8EE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AA27644"/>
    <w:multiLevelType w:val="hybridMultilevel"/>
    <w:tmpl w:val="CC6A9AE8"/>
    <w:lvl w:ilvl="0" w:tplc="50C065C8">
      <w:start w:val="1"/>
      <w:numFmt w:val="bullet"/>
      <w:lvlText w:val="•"/>
      <w:lvlJc w:val="left"/>
      <w:pPr>
        <w:tabs>
          <w:tab w:val="num" w:pos="720"/>
        </w:tabs>
        <w:ind w:left="720" w:hanging="360"/>
      </w:pPr>
      <w:rPr>
        <w:rFonts w:ascii="Arial" w:hAnsi="Arial" w:hint="default"/>
      </w:rPr>
    </w:lvl>
    <w:lvl w:ilvl="1" w:tplc="478C5008" w:tentative="1">
      <w:start w:val="1"/>
      <w:numFmt w:val="bullet"/>
      <w:lvlText w:val="•"/>
      <w:lvlJc w:val="left"/>
      <w:pPr>
        <w:tabs>
          <w:tab w:val="num" w:pos="1440"/>
        </w:tabs>
        <w:ind w:left="1440" w:hanging="360"/>
      </w:pPr>
      <w:rPr>
        <w:rFonts w:ascii="Arial" w:hAnsi="Arial" w:hint="default"/>
      </w:rPr>
    </w:lvl>
    <w:lvl w:ilvl="2" w:tplc="D8CE01B6" w:tentative="1">
      <w:start w:val="1"/>
      <w:numFmt w:val="bullet"/>
      <w:lvlText w:val="•"/>
      <w:lvlJc w:val="left"/>
      <w:pPr>
        <w:tabs>
          <w:tab w:val="num" w:pos="2160"/>
        </w:tabs>
        <w:ind w:left="2160" w:hanging="360"/>
      </w:pPr>
      <w:rPr>
        <w:rFonts w:ascii="Arial" w:hAnsi="Arial" w:hint="default"/>
      </w:rPr>
    </w:lvl>
    <w:lvl w:ilvl="3" w:tplc="229644F2" w:tentative="1">
      <w:start w:val="1"/>
      <w:numFmt w:val="bullet"/>
      <w:lvlText w:val="•"/>
      <w:lvlJc w:val="left"/>
      <w:pPr>
        <w:tabs>
          <w:tab w:val="num" w:pos="2880"/>
        </w:tabs>
        <w:ind w:left="2880" w:hanging="360"/>
      </w:pPr>
      <w:rPr>
        <w:rFonts w:ascii="Arial" w:hAnsi="Arial" w:hint="default"/>
      </w:rPr>
    </w:lvl>
    <w:lvl w:ilvl="4" w:tplc="8C3A32BE" w:tentative="1">
      <w:start w:val="1"/>
      <w:numFmt w:val="bullet"/>
      <w:lvlText w:val="•"/>
      <w:lvlJc w:val="left"/>
      <w:pPr>
        <w:tabs>
          <w:tab w:val="num" w:pos="3600"/>
        </w:tabs>
        <w:ind w:left="3600" w:hanging="360"/>
      </w:pPr>
      <w:rPr>
        <w:rFonts w:ascii="Arial" w:hAnsi="Arial" w:hint="default"/>
      </w:rPr>
    </w:lvl>
    <w:lvl w:ilvl="5" w:tplc="306C1A2C" w:tentative="1">
      <w:start w:val="1"/>
      <w:numFmt w:val="bullet"/>
      <w:lvlText w:val="•"/>
      <w:lvlJc w:val="left"/>
      <w:pPr>
        <w:tabs>
          <w:tab w:val="num" w:pos="4320"/>
        </w:tabs>
        <w:ind w:left="4320" w:hanging="360"/>
      </w:pPr>
      <w:rPr>
        <w:rFonts w:ascii="Arial" w:hAnsi="Arial" w:hint="default"/>
      </w:rPr>
    </w:lvl>
    <w:lvl w:ilvl="6" w:tplc="60202690" w:tentative="1">
      <w:start w:val="1"/>
      <w:numFmt w:val="bullet"/>
      <w:lvlText w:val="•"/>
      <w:lvlJc w:val="left"/>
      <w:pPr>
        <w:tabs>
          <w:tab w:val="num" w:pos="5040"/>
        </w:tabs>
        <w:ind w:left="5040" w:hanging="360"/>
      </w:pPr>
      <w:rPr>
        <w:rFonts w:ascii="Arial" w:hAnsi="Arial" w:hint="default"/>
      </w:rPr>
    </w:lvl>
    <w:lvl w:ilvl="7" w:tplc="EF4A8C70" w:tentative="1">
      <w:start w:val="1"/>
      <w:numFmt w:val="bullet"/>
      <w:lvlText w:val="•"/>
      <w:lvlJc w:val="left"/>
      <w:pPr>
        <w:tabs>
          <w:tab w:val="num" w:pos="5760"/>
        </w:tabs>
        <w:ind w:left="5760" w:hanging="360"/>
      </w:pPr>
      <w:rPr>
        <w:rFonts w:ascii="Arial" w:hAnsi="Arial" w:hint="default"/>
      </w:rPr>
    </w:lvl>
    <w:lvl w:ilvl="8" w:tplc="392A5AA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2"/>
  </w:num>
  <w:num w:numId="4">
    <w:abstractNumId w:val="0"/>
  </w:num>
  <w:num w:numId="5">
    <w:abstractNumId w:val="3"/>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59E"/>
    <w:rsid w:val="000267E4"/>
    <w:rsid w:val="00134AE1"/>
    <w:rsid w:val="001C2AA2"/>
    <w:rsid w:val="001D6731"/>
    <w:rsid w:val="001E073E"/>
    <w:rsid w:val="0022438C"/>
    <w:rsid w:val="00305500"/>
    <w:rsid w:val="003206AB"/>
    <w:rsid w:val="00364A1D"/>
    <w:rsid w:val="00370E02"/>
    <w:rsid w:val="003B03D0"/>
    <w:rsid w:val="003C721A"/>
    <w:rsid w:val="0040573D"/>
    <w:rsid w:val="00447985"/>
    <w:rsid w:val="004A5393"/>
    <w:rsid w:val="004D5B4C"/>
    <w:rsid w:val="00561D0F"/>
    <w:rsid w:val="0061594B"/>
    <w:rsid w:val="00683740"/>
    <w:rsid w:val="006850C2"/>
    <w:rsid w:val="006C495C"/>
    <w:rsid w:val="006E30C1"/>
    <w:rsid w:val="00700B75"/>
    <w:rsid w:val="0071594C"/>
    <w:rsid w:val="00737643"/>
    <w:rsid w:val="007B1CAC"/>
    <w:rsid w:val="007D459E"/>
    <w:rsid w:val="008711B7"/>
    <w:rsid w:val="0087133A"/>
    <w:rsid w:val="00881005"/>
    <w:rsid w:val="008851AF"/>
    <w:rsid w:val="008A2C60"/>
    <w:rsid w:val="008F598B"/>
    <w:rsid w:val="00910099"/>
    <w:rsid w:val="009308C7"/>
    <w:rsid w:val="00977727"/>
    <w:rsid w:val="009869E2"/>
    <w:rsid w:val="0099574A"/>
    <w:rsid w:val="009D3F91"/>
    <w:rsid w:val="009D7319"/>
    <w:rsid w:val="00A0608C"/>
    <w:rsid w:val="00A25EEE"/>
    <w:rsid w:val="00A64EAD"/>
    <w:rsid w:val="00AE6ED5"/>
    <w:rsid w:val="00AE7389"/>
    <w:rsid w:val="00AF2C2F"/>
    <w:rsid w:val="00B07937"/>
    <w:rsid w:val="00B11B74"/>
    <w:rsid w:val="00B27311"/>
    <w:rsid w:val="00B77B09"/>
    <w:rsid w:val="00B81D4B"/>
    <w:rsid w:val="00B82E7B"/>
    <w:rsid w:val="00BD3E55"/>
    <w:rsid w:val="00C02EFD"/>
    <w:rsid w:val="00C279F5"/>
    <w:rsid w:val="00C45604"/>
    <w:rsid w:val="00C82DD8"/>
    <w:rsid w:val="00D22A4C"/>
    <w:rsid w:val="00D25ACD"/>
    <w:rsid w:val="00D322E8"/>
    <w:rsid w:val="00D9157F"/>
    <w:rsid w:val="00DA30AE"/>
    <w:rsid w:val="00DE1394"/>
    <w:rsid w:val="00E03EEF"/>
    <w:rsid w:val="00E05FA2"/>
    <w:rsid w:val="00E51A2F"/>
    <w:rsid w:val="00E94129"/>
    <w:rsid w:val="00F31CE0"/>
    <w:rsid w:val="00F5499A"/>
    <w:rsid w:val="00F57827"/>
    <w:rsid w:val="00F70660"/>
    <w:rsid w:val="00F76337"/>
    <w:rsid w:val="00FB3A8F"/>
    <w:rsid w:val="00FB70D8"/>
    <w:rsid w:val="00FD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91BD"/>
  <w15:chartTrackingRefBased/>
  <w15:docId w15:val="{51A982B6-7882-4DD2-B82C-B364BDAD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33A"/>
    <w:pPr>
      <w:ind w:left="720"/>
      <w:contextualSpacing/>
    </w:pPr>
  </w:style>
  <w:style w:type="paragraph" w:styleId="BalloonText">
    <w:name w:val="Balloon Text"/>
    <w:basedOn w:val="Normal"/>
    <w:link w:val="BalloonTextChar"/>
    <w:uiPriority w:val="99"/>
    <w:semiHidden/>
    <w:unhideWhenUsed/>
    <w:rsid w:val="00930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08C7"/>
    <w:rPr>
      <w:rFonts w:ascii="Times New Roman" w:hAnsi="Times New Roman" w:cs="Times New Roman"/>
      <w:sz w:val="18"/>
      <w:szCs w:val="18"/>
    </w:rPr>
  </w:style>
  <w:style w:type="paragraph" w:customStyle="1" w:styleId="Body">
    <w:name w:val="Body"/>
    <w:basedOn w:val="Normal"/>
    <w:link w:val="BodyChar"/>
    <w:rsid w:val="00C82DD8"/>
    <w:pPr>
      <w:spacing w:before="240" w:after="0" w:line="240" w:lineRule="auto"/>
      <w:jc w:val="both"/>
    </w:pPr>
    <w:rPr>
      <w:rFonts w:ascii="Arial" w:eastAsia="Times New Roman" w:hAnsi="Arial" w:cs="Times New Roman"/>
      <w:color w:val="000000"/>
      <w:sz w:val="20"/>
      <w:szCs w:val="20"/>
    </w:rPr>
  </w:style>
  <w:style w:type="character" w:styleId="Strong">
    <w:name w:val="Strong"/>
    <w:uiPriority w:val="22"/>
    <w:qFormat/>
    <w:rsid w:val="00C82DD8"/>
    <w:rPr>
      <w:b/>
      <w:bCs/>
    </w:rPr>
  </w:style>
  <w:style w:type="character" w:customStyle="1" w:styleId="BodyChar">
    <w:name w:val="Body Char"/>
    <w:basedOn w:val="DefaultParagraphFont"/>
    <w:link w:val="Body"/>
    <w:rsid w:val="00C82DD8"/>
    <w:rPr>
      <w:rFonts w:ascii="Arial" w:eastAsia="Times New Roman" w:hAnsi="Arial"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9642">
      <w:bodyDiv w:val="1"/>
      <w:marLeft w:val="0"/>
      <w:marRight w:val="0"/>
      <w:marTop w:val="0"/>
      <w:marBottom w:val="0"/>
      <w:divBdr>
        <w:top w:val="none" w:sz="0" w:space="0" w:color="auto"/>
        <w:left w:val="none" w:sz="0" w:space="0" w:color="auto"/>
        <w:bottom w:val="none" w:sz="0" w:space="0" w:color="auto"/>
        <w:right w:val="none" w:sz="0" w:space="0" w:color="auto"/>
      </w:divBdr>
    </w:div>
    <w:div w:id="560290177">
      <w:bodyDiv w:val="1"/>
      <w:marLeft w:val="0"/>
      <w:marRight w:val="0"/>
      <w:marTop w:val="0"/>
      <w:marBottom w:val="0"/>
      <w:divBdr>
        <w:top w:val="none" w:sz="0" w:space="0" w:color="auto"/>
        <w:left w:val="none" w:sz="0" w:space="0" w:color="auto"/>
        <w:bottom w:val="none" w:sz="0" w:space="0" w:color="auto"/>
        <w:right w:val="none" w:sz="0" w:space="0" w:color="auto"/>
      </w:divBdr>
      <w:divsChild>
        <w:div w:id="107612676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Bellino</dc:creator>
  <cp:keywords/>
  <dc:description/>
  <cp:lastModifiedBy>George Bellino</cp:lastModifiedBy>
  <cp:revision>2</cp:revision>
  <dcterms:created xsi:type="dcterms:W3CDTF">2017-06-29T09:03:00Z</dcterms:created>
  <dcterms:modified xsi:type="dcterms:W3CDTF">2017-06-29T09:03:00Z</dcterms:modified>
</cp:coreProperties>
</file>